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autoSpaceDN w:val="0"/>
        <w:spacing w:before="156" w:beforeLines="50" w:line="5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华文中宋" w:eastAsia="华文中宋" w:cs="Times New Roman"/>
          <w:b/>
          <w:bCs/>
          <w:sz w:val="36"/>
          <w:szCs w:val="36"/>
        </w:rPr>
        <w:t>浙江理工大学哲学社会科学科研繁荣计划</w:t>
      </w:r>
    </w:p>
    <w:p>
      <w:pPr>
        <w:autoSpaceDN w:val="0"/>
        <w:spacing w:before="156" w:beforeLines="50" w:line="500" w:lineRule="exact"/>
        <w:jc w:val="center"/>
        <w:rPr>
          <w:rFonts w:ascii="Times New Roman" w:hAnsi="华文中宋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</w:t>
      </w:r>
      <w:r>
        <w:rPr>
          <w:rFonts w:hint="eastAsia" w:eastAsia="华文中宋" w:cs="Times New Roman"/>
          <w:b/>
          <w:bCs/>
          <w:sz w:val="36"/>
          <w:szCs w:val="36"/>
          <w:lang w:val="en-US" w:eastAsia="zh-CN"/>
        </w:rPr>
        <w:t>20</w:t>
      </w:r>
      <w:r>
        <w:rPr>
          <w:rFonts w:ascii="Times New Roman" w:hAnsi="华文中宋" w:eastAsia="华文中宋" w:cs="Times New Roman"/>
          <w:b/>
          <w:bCs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sz w:val="36"/>
          <w:szCs w:val="36"/>
        </w:rPr>
        <w:t>度</w:t>
      </w:r>
      <w:r>
        <w:rPr>
          <w:rFonts w:hint="eastAsia" w:hAnsi="华文中宋" w:eastAsia="华文中宋" w:cs="Times New Roman"/>
          <w:b/>
          <w:bCs/>
          <w:sz w:val="36"/>
          <w:szCs w:val="36"/>
          <w:lang w:val="en-US" w:eastAsia="zh-CN"/>
        </w:rPr>
        <w:t>第二批</w:t>
      </w:r>
      <w:r>
        <w:rPr>
          <w:rFonts w:ascii="Times New Roman" w:hAnsi="华文中宋" w:eastAsia="华文中宋" w:cs="Times New Roman"/>
          <w:b/>
          <w:bCs/>
          <w:sz w:val="36"/>
          <w:szCs w:val="36"/>
        </w:rPr>
        <w:t>论文发表资助明细</w:t>
      </w:r>
    </w:p>
    <w:p>
      <w:pPr>
        <w:autoSpaceDN w:val="0"/>
        <w:spacing w:before="156" w:beforeLines="50" w:line="500" w:lineRule="exact"/>
        <w:jc w:val="center"/>
        <w:rPr>
          <w:rFonts w:ascii="Times New Roman" w:hAnsi="华文中宋" w:eastAsia="华文中宋" w:cs="Times New Roman"/>
          <w:b/>
          <w:bCs/>
          <w:sz w:val="36"/>
          <w:szCs w:val="36"/>
        </w:rPr>
      </w:pPr>
    </w:p>
    <w:tbl>
      <w:tblPr>
        <w:tblStyle w:val="3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3831"/>
        <w:gridCol w:w="701"/>
        <w:gridCol w:w="1902"/>
        <w:gridCol w:w="2080"/>
        <w:gridCol w:w="747"/>
        <w:gridCol w:w="655"/>
        <w:gridCol w:w="990"/>
        <w:gridCol w:w="960"/>
        <w:gridCol w:w="802"/>
        <w:gridCol w:w="8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刊物名称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收录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Which is the ideal sanction for cooperation? An experimental study on different types of third-party sanctions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侯公林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侯公林,王菲,施婕妍,陈威江,Yu Jie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 Journal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Identifying target audience on enterprise social network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罗建宏,潘旭伟,王世雄,黄玉晶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INDUSTRIAL MANAGEMENT &amp; DATA SYSTEMS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Head-up Display Graphic Warning System Facilitates Simulated Driving Performance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杨振,史金磊,张寅,王笃明,李宏汀,Changxu Wu,Yiqi Zhang,Jingyan Wan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INTERNATIONAL JOURNAL OF HUMAN-COMPUTER INTERACTION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Different Effects of Contractual Form on Public Transport Satisfaction: Evidence from Large- and Medium-Sized Cities in China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张春勤, Daoyou Wang,Anning Ni,倪训友,Guangnian Xiao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 of spatial enhancement technology on input through the keyboard in virtual reality environment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杨振,陈澄,林雨青,王笃明,李宏汀,Weidan Xu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APPLIED ERGONOMICS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Enhancing public acceptance towards waste-to-energy incineration projects: Lessons learned from a case study in China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刘勇,GE Yujia,Xia Bo,CUI Caiyun,Jiang Xiaoyan,Skitmore Martin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Sustainable Cities and Society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Evaluating Passenger Satisfaction Index Based on PLS-SEM Model: Evidence from Chinese public transport service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张春勤,刘勇,陆维特,肖光年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TRANSPORTATION RESEARCH PART A-POLICY AND PRACTICE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regional composite-face effect for species-specific recognition: Upper and lower halves play different roles in holistic processing of monkey faces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王哲,Paul C. Quinn,Haiyang Jin,孙宇浩, James W. Tanaka,Olivier Pascalis,Kang Lee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RESEARCH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account of the textile waste policy in China (1991-2017)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许辰可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许辰可,程华,廖中举,胡豪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CLEANER PRODUCTION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relationship between organizational forms and comprehensive effectiveness for public transport services in China?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张春勤, Xiao GN, Liu Y, Yu F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Transportation Research Part A: Policy and Practice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后补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Compensation Scheme for Self-Employed Bus Service Requisitions in Urban–Rural Passenger Transport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张春勤,Yuting Hu,Anning Ni,Hongwei Li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Chinese online public opinions on the Two-Child Policy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王世雄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王世雄,Song Yu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从绿色环保理念到5R+1D的原则应用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孙虹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肖予馨,孙虹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大众文艺.学术版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65943"/>
    <w:rsid w:val="32067B9C"/>
    <w:rsid w:val="429A4013"/>
    <w:rsid w:val="4B821A30"/>
    <w:rsid w:val="4F141597"/>
    <w:rsid w:val="65DC1B7D"/>
    <w:rsid w:val="6AD85D2F"/>
    <w:rsid w:val="7E6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甘乐饮茶</cp:lastModifiedBy>
  <dcterms:modified xsi:type="dcterms:W3CDTF">2020-10-21T05:55:21Z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